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AA1E" w14:textId="77777777" w:rsidR="00E17CCA" w:rsidRDefault="00E17CCA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</w:pPr>
    </w:p>
    <w:p w14:paraId="550A1056" w14:textId="77777777" w:rsidR="00E17CCA" w:rsidRDefault="00E17CCA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</w:pPr>
    </w:p>
    <w:p w14:paraId="216718C6" w14:textId="77777777" w:rsidR="005636DF" w:rsidRDefault="00E17CCA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</w:pPr>
      <w:r w:rsidRPr="00883AE7">
        <w:rPr>
          <w:rFonts w:asciiTheme="minorHAnsi" w:eastAsia="Tahoma" w:hAnsiTheme="minorHAnsi" w:cstheme="minorHAnsi"/>
          <w:b/>
          <w:color w:val="000000"/>
          <w:lang w:val="de-DE"/>
        </w:rPr>
        <w:t>Die Bremer</w:t>
      </w:r>
      <w:r w:rsidRPr="00883AE7">
        <w:rPr>
          <w:rFonts w:asciiTheme="minorHAnsi" w:eastAsia="Tahoma" w:hAnsiTheme="minorHAnsi" w:cstheme="minorHAnsi"/>
          <w:bCs/>
          <w:color w:val="000000"/>
          <w:lang w:val="de-DE"/>
        </w:rPr>
        <w:t xml:space="preserve"> </w:t>
      </w:r>
      <w:r w:rsidRPr="00883AE7">
        <w:rPr>
          <w:rFonts w:asciiTheme="minorHAnsi" w:eastAsia="Tahoma" w:hAnsiTheme="minorHAnsi" w:cstheme="minorHAnsi"/>
          <w:b/>
          <w:color w:val="000000"/>
          <w:lang w:val="de-DE"/>
        </w:rPr>
        <w:t xml:space="preserve">Arbeitsgruppe </w:t>
      </w:r>
      <w:r w:rsidRPr="00883AE7">
        <w:rPr>
          <w:rFonts w:asciiTheme="minorHAnsi" w:eastAsia="Tahoma" w:hAnsiTheme="minorHAnsi" w:cstheme="minorHAnsi"/>
          <w:b/>
          <w:color w:val="000000"/>
          <w:lang w:val="de-DE"/>
        </w:rPr>
        <w:t>der</w:t>
      </w:r>
      <w:r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  <w:t xml:space="preserve"> </w:t>
      </w:r>
    </w:p>
    <w:p w14:paraId="165C1A14" w14:textId="41883507" w:rsidR="00E17CCA" w:rsidRDefault="00E17CCA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</w:pPr>
      <w:r w:rsidRPr="00883AE7"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  <w:t>Deutsche</w:t>
      </w:r>
      <w:r w:rsidRPr="00883AE7"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  <w:t>n</w:t>
      </w:r>
      <w:r w:rsidRPr="00883AE7"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  <w:t xml:space="preserve"> Psychoanalytische</w:t>
      </w:r>
      <w:r w:rsidRPr="00883AE7"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  <w:t>n</w:t>
      </w:r>
      <w:r w:rsidRPr="00883AE7"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  <w:t xml:space="preserve"> Gesellschaft</w:t>
      </w:r>
    </w:p>
    <w:p w14:paraId="1216FAA6" w14:textId="77777777" w:rsidR="00E17CCA" w:rsidRDefault="00E17CCA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</w:pPr>
    </w:p>
    <w:p w14:paraId="163F44BB" w14:textId="3DD0E611" w:rsidR="00E17CCA" w:rsidRPr="00883AE7" w:rsidRDefault="00E17CCA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Cs/>
          <w:color w:val="000000"/>
          <w:lang w:val="de-DE"/>
        </w:rPr>
      </w:pPr>
      <w:r w:rsidRPr="00883AE7">
        <w:rPr>
          <w:rFonts w:asciiTheme="minorHAnsi" w:eastAsia="Tahoma" w:hAnsiTheme="minorHAnsi" w:cstheme="minorHAnsi"/>
          <w:bCs/>
          <w:color w:val="000000"/>
          <w:lang w:val="de-DE"/>
        </w:rPr>
        <w:t xml:space="preserve">lädt ein zum </w:t>
      </w:r>
    </w:p>
    <w:p w14:paraId="52917763" w14:textId="77777777" w:rsidR="00E17CCA" w:rsidRDefault="00E17CCA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</w:pPr>
    </w:p>
    <w:p w14:paraId="70BED576" w14:textId="77777777" w:rsidR="00F82D61" w:rsidRDefault="00F82D61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32"/>
          <w:szCs w:val="32"/>
          <w:lang w:val="de-DE"/>
        </w:rPr>
      </w:pPr>
    </w:p>
    <w:p w14:paraId="6D04A967" w14:textId="4799C246" w:rsidR="00E17CCA" w:rsidRPr="00E17CCA" w:rsidRDefault="00E17CCA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</w:pPr>
      <w:r w:rsidRPr="005636DF">
        <w:rPr>
          <w:rFonts w:asciiTheme="minorHAnsi" w:eastAsia="Tahoma" w:hAnsiTheme="minorHAnsi" w:cstheme="minorHAnsi"/>
          <w:b/>
          <w:color w:val="000000"/>
          <w:sz w:val="32"/>
          <w:szCs w:val="32"/>
          <w:lang w:val="de-DE"/>
        </w:rPr>
        <w:t>Vortrag</w:t>
      </w:r>
      <w:r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  <w:t xml:space="preserve"> </w:t>
      </w:r>
      <w:r w:rsidRPr="00E17CCA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von</w:t>
      </w:r>
    </w:p>
    <w:p w14:paraId="5A81BB3D" w14:textId="77777777" w:rsidR="00E17CCA" w:rsidRDefault="00E17CCA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</w:pPr>
    </w:p>
    <w:p w14:paraId="486A22AC" w14:textId="1F88B483" w:rsidR="00E17CCA" w:rsidRPr="00E06049" w:rsidRDefault="00E17CCA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32"/>
          <w:szCs w:val="32"/>
          <w:lang w:val="de-DE"/>
        </w:rPr>
      </w:pPr>
      <w:r w:rsidRPr="00BC16C5">
        <w:rPr>
          <w:rFonts w:asciiTheme="minorHAnsi" w:eastAsia="Tahoma" w:hAnsiTheme="minorHAnsi" w:cstheme="minorHAnsi"/>
          <w:b/>
          <w:color w:val="000000"/>
          <w:sz w:val="36"/>
          <w:szCs w:val="36"/>
          <w:lang w:val="de-DE"/>
        </w:rPr>
        <w:t>Prof. Dr. Heinz Weiß</w:t>
      </w:r>
      <w:r w:rsidRPr="00E06049">
        <w:rPr>
          <w:rFonts w:asciiTheme="minorHAnsi" w:eastAsia="Tahoma" w:hAnsiTheme="minorHAnsi" w:cstheme="minorHAnsi"/>
          <w:b/>
          <w:color w:val="000000"/>
          <w:sz w:val="32"/>
          <w:szCs w:val="32"/>
          <w:lang w:val="de-DE"/>
        </w:rPr>
        <w:t xml:space="preserve">: </w:t>
      </w:r>
    </w:p>
    <w:p w14:paraId="4C34C57A" w14:textId="77777777" w:rsidR="00E17CCA" w:rsidRPr="00E06049" w:rsidRDefault="00E17CCA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32"/>
          <w:szCs w:val="32"/>
          <w:lang w:val="de-DE"/>
        </w:rPr>
      </w:pPr>
    </w:p>
    <w:p w14:paraId="4C2F4BAC" w14:textId="24B43CFC" w:rsidR="00E17CCA" w:rsidRPr="00BC16C5" w:rsidRDefault="00E17CCA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36"/>
          <w:szCs w:val="36"/>
          <w:lang w:val="de-DE"/>
        </w:rPr>
      </w:pPr>
      <w:r w:rsidRPr="00BC16C5">
        <w:rPr>
          <w:rFonts w:asciiTheme="minorHAnsi" w:eastAsia="Tahoma" w:hAnsiTheme="minorHAnsi" w:cstheme="minorHAnsi"/>
          <w:b/>
          <w:color w:val="000000"/>
          <w:sz w:val="36"/>
          <w:szCs w:val="36"/>
          <w:lang w:val="de-DE"/>
        </w:rPr>
        <w:t>Der Bolero von Krieg und Propaganda</w:t>
      </w:r>
    </w:p>
    <w:p w14:paraId="70C2FF28" w14:textId="7A0C141D" w:rsidR="00E17CCA" w:rsidRDefault="00E17CCA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</w:pPr>
    </w:p>
    <w:p w14:paraId="2F065207" w14:textId="79C78787" w:rsidR="00097787" w:rsidRDefault="00097787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</w:pPr>
      <w:r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>Zeit: Freitag, 05.12.2025, 20 Uhr</w:t>
      </w:r>
    </w:p>
    <w:p w14:paraId="09C5F612" w14:textId="42536393" w:rsidR="00097787" w:rsidRDefault="00097787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</w:pPr>
      <w:r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>Ort: Psychoanalytisches Institut Bremen, Metzer Str. 30, Raum 22</w:t>
      </w:r>
    </w:p>
    <w:p w14:paraId="2202D35D" w14:textId="77777777" w:rsidR="00097787" w:rsidRPr="00097787" w:rsidRDefault="00097787" w:rsidP="00F82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</w:pPr>
    </w:p>
    <w:p w14:paraId="55D650FC" w14:textId="77777777" w:rsidR="00E06049" w:rsidRDefault="00E06049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</w:pPr>
    </w:p>
    <w:p w14:paraId="5708F713" w14:textId="77777777" w:rsidR="00F82D61" w:rsidRDefault="00F82D61" w:rsidP="00E17CCA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8"/>
          <w:szCs w:val="28"/>
          <w:lang w:val="de-DE"/>
        </w:rPr>
      </w:pPr>
    </w:p>
    <w:p w14:paraId="7F1E4949" w14:textId="21DF7950" w:rsidR="00E17CCA" w:rsidRDefault="00E17CCA" w:rsidP="00E17CCA">
      <w:pPr>
        <w:tabs>
          <w:tab w:val="right" w:pos="8352"/>
        </w:tabs>
        <w:spacing w:line="276" w:lineRule="auto"/>
        <w:ind w:left="74" w:right="34"/>
        <w:jc w:val="both"/>
        <w:textAlignment w:val="baseline"/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</w:pPr>
      <w:r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>Heinz Weiß</w:t>
      </w:r>
      <w:r w:rsidR="00097787"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>‘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 Vortrag zur politischen Psychoanalyse</w:t>
      </w:r>
      <w:r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 xml:space="preserve"> </w:t>
      </w:r>
      <w:r w:rsidRP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be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leuchtet</w:t>
      </w:r>
      <w:r w:rsidRP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 gegenwärtige gesellschaftliche Konflikte unter Bezugnahme auf die Schriften des britischen Psychoanalytikers</w:t>
      </w:r>
      <w:r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 xml:space="preserve"> </w:t>
      </w:r>
      <w:r w:rsidRP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und Philosophen</w:t>
      </w:r>
      <w:r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 xml:space="preserve"> </w:t>
      </w:r>
      <w:r w:rsidR="00097787">
        <w:rPr>
          <w:rFonts w:asciiTheme="minorHAnsi" w:eastAsia="Tahoma" w:hAnsiTheme="minorHAnsi" w:cstheme="minorHAnsi"/>
          <w:b/>
          <w:color w:val="000000"/>
          <w:sz w:val="24"/>
          <w:szCs w:val="24"/>
          <w:lang w:val="de-DE"/>
        </w:rPr>
        <w:t xml:space="preserve">Roger Money-Kyrle (1898 – 1980). 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Sie ermöglichen einen psychoanalytischen Zugang zu aktuellen Entwicklungen und stellen eine Verbindung her zu klinischen Überlegungen</w:t>
      </w:r>
      <w:r w:rsidR="003D4BFE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,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 bspw. </w:t>
      </w:r>
      <w:r w:rsidR="003D4BFE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zu 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pathologische</w:t>
      </w:r>
      <w:r w:rsidR="003D4BFE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n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 ÜberIch-Organisationen. Der </w:t>
      </w:r>
      <w:r w:rsidR="00E06049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öffentliche 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Vortrag richtet sich an psychoanalytisch Tätige und </w:t>
      </w:r>
      <w:r w:rsidR="008908A3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politisch-sozialpsychologisch I</w:t>
      </w:r>
      <w:r w:rsidR="00097787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>nteressierte</w:t>
      </w:r>
      <w:r w:rsidR="008908A3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. </w:t>
      </w:r>
      <w:r w:rsidR="00E06049"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  <w:t xml:space="preserve">Der Eintritt ist frei. Die Akkreditierung (PK Bremen) ist beantragt. </w:t>
      </w:r>
    </w:p>
    <w:p w14:paraId="23FF63F2" w14:textId="77777777" w:rsidR="00097787" w:rsidRDefault="00097787" w:rsidP="00E17CCA">
      <w:pPr>
        <w:tabs>
          <w:tab w:val="right" w:pos="8352"/>
        </w:tabs>
        <w:spacing w:line="276" w:lineRule="auto"/>
        <w:ind w:left="74" w:right="34"/>
        <w:jc w:val="both"/>
        <w:textAlignment w:val="baseline"/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</w:pPr>
    </w:p>
    <w:p w14:paraId="38F5A0D7" w14:textId="77777777" w:rsidR="00097787" w:rsidRDefault="00097787" w:rsidP="00E17CCA">
      <w:pPr>
        <w:tabs>
          <w:tab w:val="right" w:pos="8352"/>
        </w:tabs>
        <w:spacing w:line="276" w:lineRule="auto"/>
        <w:ind w:left="74" w:right="34"/>
        <w:jc w:val="both"/>
        <w:textAlignment w:val="baseline"/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</w:pPr>
    </w:p>
    <w:p w14:paraId="1B0842FA" w14:textId="77777777" w:rsidR="00097787" w:rsidRDefault="00097787" w:rsidP="00E17CCA">
      <w:pPr>
        <w:tabs>
          <w:tab w:val="right" w:pos="8352"/>
        </w:tabs>
        <w:spacing w:line="276" w:lineRule="auto"/>
        <w:ind w:left="74" w:right="34"/>
        <w:jc w:val="both"/>
        <w:textAlignment w:val="baseline"/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</w:pPr>
    </w:p>
    <w:p w14:paraId="351DFC63" w14:textId="77777777" w:rsidR="00097787" w:rsidRDefault="00097787" w:rsidP="00E17CCA">
      <w:pPr>
        <w:tabs>
          <w:tab w:val="right" w:pos="8352"/>
        </w:tabs>
        <w:spacing w:line="276" w:lineRule="auto"/>
        <w:ind w:left="74" w:right="34"/>
        <w:jc w:val="both"/>
        <w:textAlignment w:val="baseline"/>
        <w:rPr>
          <w:rFonts w:asciiTheme="minorHAnsi" w:eastAsia="Tahoma" w:hAnsiTheme="minorHAnsi" w:cstheme="minorHAnsi"/>
          <w:bCs/>
          <w:color w:val="000000"/>
          <w:sz w:val="24"/>
          <w:szCs w:val="24"/>
          <w:lang w:val="de-DE"/>
        </w:rPr>
      </w:pPr>
    </w:p>
    <w:p w14:paraId="62BBB7D5" w14:textId="3F061D6B" w:rsidR="00E17CCA" w:rsidRDefault="00097787" w:rsidP="00097787">
      <w:pPr>
        <w:tabs>
          <w:tab w:val="right" w:pos="8352"/>
        </w:tabs>
        <w:spacing w:line="276" w:lineRule="auto"/>
        <w:ind w:left="74" w:right="34"/>
        <w:jc w:val="center"/>
        <w:textAlignment w:val="baseline"/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</w:pPr>
      <w:r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  <w:t>Zur Person:</w:t>
      </w:r>
    </w:p>
    <w:p w14:paraId="6E0CC672" w14:textId="77777777" w:rsidR="00E17CCA" w:rsidRDefault="00E17CCA" w:rsidP="00097787">
      <w:pPr>
        <w:tabs>
          <w:tab w:val="right" w:pos="8352"/>
        </w:tabs>
        <w:spacing w:line="276" w:lineRule="auto"/>
        <w:ind w:left="74" w:right="34"/>
        <w:jc w:val="both"/>
        <w:textAlignment w:val="baseline"/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</w:pPr>
    </w:p>
    <w:p w14:paraId="4EF7AEDC" w14:textId="0A82898C" w:rsidR="005216BE" w:rsidRPr="007270B9" w:rsidRDefault="001B0600" w:rsidP="004E49E5">
      <w:pPr>
        <w:tabs>
          <w:tab w:val="right" w:pos="8352"/>
        </w:tabs>
        <w:spacing w:line="212" w:lineRule="exact"/>
        <w:ind w:left="72" w:right="36"/>
        <w:jc w:val="both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</w:pPr>
      <w:r w:rsidRPr="007270B9">
        <w:rPr>
          <w:rFonts w:asciiTheme="minorHAnsi" w:eastAsia="Tahoma" w:hAnsiTheme="minorHAnsi" w:cstheme="minorHAnsi"/>
          <w:b/>
          <w:color w:val="000000"/>
          <w:sz w:val="20"/>
          <w:szCs w:val="20"/>
          <w:lang w:val="de-DE"/>
        </w:rPr>
        <w:t xml:space="preserve">Heinz Weiß, </w:t>
      </w:r>
      <w:r w:rsidR="007270B9">
        <w:rPr>
          <w:rFonts w:asciiTheme="minorHAnsi" w:eastAsia="Tahoma" w:hAnsiTheme="minorHAnsi" w:cstheme="minorHAnsi"/>
          <w:bCs/>
          <w:color w:val="000000"/>
          <w:sz w:val="20"/>
          <w:szCs w:val="20"/>
          <w:lang w:val="de-DE"/>
        </w:rPr>
        <w:t xml:space="preserve">geb. 1955 in Würzburg, 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Prof. Dr. med., Psychoanalytiker, Leiter des medizinischen Bereichs</w:t>
      </w:r>
      <w:r w:rsid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und der Ambulanz des Sigmund-Freud-Instituts,</w:t>
      </w:r>
      <w:r w:rsidR="00E76A0D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1999 - 2022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Chefarzt für Psychosomatische Medizin am Robert-Bosch-Krankenhaus</w:t>
      </w:r>
      <w:r w:rsidR="009B6E6F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Stuttgart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.</w:t>
      </w:r>
      <w:r w:rsidR="00057ADE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Herausgeber </w:t>
      </w:r>
      <w:r w:rsidR="009B6E6F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und Autor </w:t>
      </w:r>
      <w:r w:rsidR="00057ADE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einer Vielzahl </w:t>
      </w:r>
      <w:r w:rsidR="009B6E6F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von Arbeiten und </w:t>
      </w:r>
      <w:r w:rsidR="00057ADE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Übersetzungen </w:t>
      </w:r>
      <w:r w:rsidR="00B92BF1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u. a. </w:t>
      </w:r>
      <w:r w:rsidR="009B6E6F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zur</w:t>
      </w:r>
      <w:r w:rsidR="00057ADE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kleinianischen Psychoanalyse.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</w:t>
      </w:r>
      <w:r w:rsidR="00E76A0D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Ausgewählte neuere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Buchveröffentlichungen: </w:t>
      </w:r>
      <w:r w:rsidR="00057ADE"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C. Frank &amp; H. Weiß (Hg.): </w:t>
      </w:r>
      <w:r w:rsidR="00057ADE"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>Roger Money-Kyrle.</w:t>
      </w:r>
      <w:r w:rsidR="00057ADE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 </w:t>
      </w:r>
      <w:r w:rsidR="00F367AA">
        <w:rPr>
          <w:rFonts w:asciiTheme="minorHAnsi" w:eastAsia="Tahoma" w:hAnsiTheme="minorHAnsi" w:cstheme="minorHAnsi"/>
          <w:i/>
          <w:color w:val="000000"/>
          <w:spacing w:val="8"/>
          <w:sz w:val="20"/>
          <w:szCs w:val="20"/>
          <w:lang w:val="de-DE"/>
        </w:rPr>
        <w:t>Beiträge zum Verhältnis von Psychoanalyse und Philosophie.</w:t>
      </w:r>
      <w:r w:rsidR="00057ADE" w:rsidRPr="007270B9">
        <w:rPr>
          <w:rFonts w:asciiTheme="minorHAnsi" w:eastAsia="Tahoma" w:hAnsiTheme="minorHAnsi" w:cstheme="minorHAnsi"/>
          <w:i/>
          <w:color w:val="000000"/>
          <w:spacing w:val="8"/>
          <w:sz w:val="20"/>
          <w:szCs w:val="20"/>
          <w:lang w:val="de-DE"/>
        </w:rPr>
        <w:t xml:space="preserve"> Ausgewählte Schriften, </w:t>
      </w:r>
      <w:r w:rsidR="00057ADE" w:rsidRPr="007270B9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>Bd. I</w:t>
      </w:r>
      <w:r w:rsidR="00057ADE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>V</w:t>
      </w:r>
      <w:r w:rsidR="00057ADE" w:rsidRPr="007270B9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 xml:space="preserve"> (Brandes &amp; Apsel 202</w:t>
      </w:r>
      <w:r w:rsidR="00057ADE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>5</w:t>
      </w:r>
      <w:r w:rsidR="00057ADE" w:rsidRPr="007270B9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>);</w:t>
      </w:r>
      <w:r w:rsidR="00057ADE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 xml:space="preserve"> 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H. Weiss, A. Bronstein, C. Frank &amp; P. Roth (Hg.): 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>The Allure of Psychic Retreats. Clinical and theoretical inquiries. Celebrating the work of John</w:t>
      </w:r>
      <w:r w:rsid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 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Steiner 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(Brandes &amp; Apsel 2024); S. Finkelstein &amp; H. Weiß (Hg.): 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The Claustro-Agoraphobic Dilemma in Psychoanalysis. Fear of madness 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(Routledge 2023); </w:t>
      </w:r>
      <w:r w:rsidR="005216BE"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C. Frank &amp; H. Weiß (Hg.): </w:t>
      </w:r>
      <w:r w:rsidR="005216BE"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>Roger Money-Kyrle.</w:t>
      </w:r>
      <w:r w:rsidR="005216BE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 </w:t>
      </w:r>
      <w:r w:rsidR="005216BE">
        <w:rPr>
          <w:rFonts w:asciiTheme="minorHAnsi" w:eastAsia="Tahoma" w:hAnsiTheme="minorHAnsi" w:cstheme="minorHAnsi"/>
          <w:i/>
          <w:color w:val="000000"/>
          <w:spacing w:val="8"/>
          <w:sz w:val="20"/>
          <w:szCs w:val="20"/>
          <w:lang w:val="de-DE"/>
        </w:rPr>
        <w:t xml:space="preserve">Die Psychologie von Krieg und Propaganda. </w:t>
      </w:r>
      <w:r w:rsidR="005216BE" w:rsidRPr="007270B9">
        <w:rPr>
          <w:rFonts w:asciiTheme="minorHAnsi" w:eastAsia="Tahoma" w:hAnsiTheme="minorHAnsi" w:cstheme="minorHAnsi"/>
          <w:i/>
          <w:color w:val="000000"/>
          <w:spacing w:val="8"/>
          <w:sz w:val="20"/>
          <w:szCs w:val="20"/>
          <w:lang w:val="de-DE"/>
        </w:rPr>
        <w:t xml:space="preserve">Ausgewählte Schriften, </w:t>
      </w:r>
      <w:r w:rsidR="005216BE" w:rsidRPr="007270B9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>Bd. I (Brandes &amp; Apsel 202</w:t>
      </w:r>
      <w:r w:rsidR="005216BE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>2</w:t>
      </w:r>
      <w:r w:rsidR="005216BE" w:rsidRPr="007270B9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>)</w:t>
      </w:r>
      <w:r w:rsidR="005216BE">
        <w:rPr>
          <w:rFonts w:asciiTheme="minorHAnsi" w:eastAsia="Tahoma" w:hAnsiTheme="minorHAnsi" w:cstheme="minorHAnsi"/>
          <w:color w:val="000000"/>
          <w:spacing w:val="8"/>
          <w:sz w:val="20"/>
          <w:szCs w:val="20"/>
          <w:lang w:val="de-DE"/>
        </w:rPr>
        <w:t xml:space="preserve">; 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H. Weiß: 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Trauma, </w:t>
      </w:r>
      <w:r w:rsidR="00E76A0D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>Schuldgefühl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 </w:t>
      </w:r>
      <w:r w:rsidR="00E76A0D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>u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nd </w:t>
      </w:r>
      <w:r w:rsidR="00E76A0D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>Wiedergutmachung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. </w:t>
      </w:r>
      <w:r w:rsidR="00E76A0D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>Wie innere Affekte Entwicklung ermöglichen</w:t>
      </w:r>
      <w:r w:rsidRPr="007270B9">
        <w:rPr>
          <w:rFonts w:asciiTheme="minorHAnsi" w:eastAsia="Tahoma" w:hAnsiTheme="minorHAnsi" w:cstheme="minorHAnsi"/>
          <w:i/>
          <w:color w:val="000000"/>
          <w:sz w:val="20"/>
          <w:szCs w:val="20"/>
          <w:lang w:val="de-DE"/>
        </w:rPr>
        <w:t xml:space="preserve"> 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(</w:t>
      </w:r>
      <w:r w:rsidR="00E76A0D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Klett-Cotta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20</w:t>
      </w:r>
      <w:r w:rsidR="00E76A0D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17</w:t>
      </w:r>
      <w:r w:rsidRPr="007270B9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>).</w:t>
      </w:r>
      <w:r w:rsidR="00515A3B">
        <w:rPr>
          <w:rFonts w:asciiTheme="minorHAnsi" w:eastAsia="Tahoma" w:hAnsiTheme="minorHAnsi" w:cstheme="minorHAnsi"/>
          <w:color w:val="000000"/>
          <w:sz w:val="20"/>
          <w:szCs w:val="20"/>
          <w:lang w:val="de-DE"/>
        </w:rPr>
        <w:t xml:space="preserve"> </w:t>
      </w:r>
    </w:p>
    <w:sectPr w:rsidR="005216BE" w:rsidRPr="007270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C2"/>
    <w:rsid w:val="00057ADE"/>
    <w:rsid w:val="00097787"/>
    <w:rsid w:val="000F0E9E"/>
    <w:rsid w:val="001B0600"/>
    <w:rsid w:val="001E1201"/>
    <w:rsid w:val="001F3B00"/>
    <w:rsid w:val="003D4BFE"/>
    <w:rsid w:val="004535D7"/>
    <w:rsid w:val="004729F1"/>
    <w:rsid w:val="004D14A8"/>
    <w:rsid w:val="004E49E5"/>
    <w:rsid w:val="00515A3B"/>
    <w:rsid w:val="005216BE"/>
    <w:rsid w:val="005636DF"/>
    <w:rsid w:val="005E28B6"/>
    <w:rsid w:val="005F4390"/>
    <w:rsid w:val="00620135"/>
    <w:rsid w:val="006E4597"/>
    <w:rsid w:val="007270B9"/>
    <w:rsid w:val="007C16FA"/>
    <w:rsid w:val="007F10CD"/>
    <w:rsid w:val="00883AE7"/>
    <w:rsid w:val="008908A3"/>
    <w:rsid w:val="008A0507"/>
    <w:rsid w:val="008C39CB"/>
    <w:rsid w:val="008C40C2"/>
    <w:rsid w:val="009B6E6F"/>
    <w:rsid w:val="009D06BA"/>
    <w:rsid w:val="00AC3F54"/>
    <w:rsid w:val="00B12B2E"/>
    <w:rsid w:val="00B92BF1"/>
    <w:rsid w:val="00BC16C5"/>
    <w:rsid w:val="00BC6F9B"/>
    <w:rsid w:val="00D11A60"/>
    <w:rsid w:val="00E06049"/>
    <w:rsid w:val="00E17CCA"/>
    <w:rsid w:val="00E2514B"/>
    <w:rsid w:val="00E7407E"/>
    <w:rsid w:val="00E76A0D"/>
    <w:rsid w:val="00F367AA"/>
    <w:rsid w:val="00F82D61"/>
    <w:rsid w:val="00F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85BC"/>
  <w15:chartTrackingRefBased/>
  <w15:docId w15:val="{93741C85-B176-417A-B2EB-085824FC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bCs/>
        <w:iCs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600"/>
    <w:pPr>
      <w:spacing w:after="0"/>
      <w:jc w:val="left"/>
    </w:pPr>
    <w:rPr>
      <w:rFonts w:ascii="Times New Roman" w:eastAsia="PMingLiU" w:hAnsi="Times New Roman" w:cs="Times New Roman"/>
      <w:bCs w:val="0"/>
      <w:iCs w:val="0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F9B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iCs/>
      <w:color w:val="365F9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qFormat/>
    <w:rsid w:val="00BC6F9B"/>
    <w:pPr>
      <w:keepNext/>
      <w:spacing w:after="160" w:line="259" w:lineRule="auto"/>
      <w:outlineLvl w:val="1"/>
    </w:pPr>
    <w:rPr>
      <w:rFonts w:ascii="Verdana" w:eastAsia="Times New Roman" w:hAnsi="Verdana" w:cs="Arial"/>
      <w:bCs/>
      <w:i/>
      <w:iCs/>
      <w:kern w:val="2"/>
      <w:sz w:val="20"/>
      <w:szCs w:val="20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6F9B"/>
    <w:pPr>
      <w:keepNext/>
      <w:keepLines/>
      <w:spacing w:before="40" w:after="160" w:line="259" w:lineRule="auto"/>
      <w:outlineLvl w:val="2"/>
    </w:pPr>
    <w:rPr>
      <w:rFonts w:asciiTheme="majorHAnsi" w:eastAsiaTheme="majorEastAsia" w:hAnsiTheme="majorHAnsi" w:cstheme="majorBidi"/>
      <w:bCs/>
      <w:iCs/>
      <w:color w:val="243F60" w:themeColor="accent1" w:themeShade="7F"/>
      <w:kern w:val="2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40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color w:val="365F9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40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iCs/>
      <w:color w:val="365F9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40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40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iCs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40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40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iCs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6F9B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C6F9B"/>
    <w:rPr>
      <w:rFonts w:ascii="Verdana" w:hAnsi="Verdana"/>
      <w:i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6F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C6F9B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bCs/>
      <w:iCs/>
      <w:color w:val="17365D" w:themeColor="text2" w:themeShade="BF"/>
      <w:spacing w:val="5"/>
      <w:kern w:val="28"/>
      <w:sz w:val="52"/>
      <w:szCs w:val="52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C6F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6F9B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bCs/>
      <w:i/>
      <w:color w:val="4F81BD" w:themeColor="accent1"/>
      <w:spacing w:val="15"/>
      <w:kern w:val="2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6F9B"/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styleId="Hervorhebung">
    <w:name w:val="Emphasis"/>
    <w:basedOn w:val="Absatz-Standardschriftart"/>
    <w:qFormat/>
    <w:rsid w:val="00BC6F9B"/>
    <w:rPr>
      <w:i/>
      <w:iCs w:val="0"/>
    </w:rPr>
  </w:style>
  <w:style w:type="paragraph" w:styleId="KeinLeerraum">
    <w:name w:val="No Spacing"/>
    <w:uiPriority w:val="1"/>
    <w:qFormat/>
    <w:rsid w:val="00BC6F9B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C6F9B"/>
    <w:pPr>
      <w:spacing w:after="160" w:line="259" w:lineRule="auto"/>
      <w:ind w:left="720"/>
      <w:contextualSpacing/>
    </w:pPr>
    <w:rPr>
      <w:rFonts w:ascii="Arial" w:eastAsia="Times New Roman" w:hAnsi="Arial" w:cs="Arial"/>
      <w:bCs/>
      <w:iCs/>
      <w:kern w:val="2"/>
      <w:lang w:val="de-DE"/>
      <w14:ligatures w14:val="standardContextu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C6F9B"/>
    <w:pPr>
      <w:spacing w:before="240"/>
      <w:outlineLvl w:val="9"/>
    </w:pPr>
    <w:rPr>
      <w:b w:val="0"/>
      <w:bCs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40C2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40C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40C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4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40C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4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8C40C2"/>
    <w:pPr>
      <w:spacing w:before="160" w:after="160" w:line="259" w:lineRule="auto"/>
      <w:jc w:val="center"/>
    </w:pPr>
    <w:rPr>
      <w:rFonts w:ascii="Arial" w:eastAsia="Times New Roman" w:hAnsi="Arial" w:cs="Arial"/>
      <w:bCs/>
      <w:i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C40C2"/>
    <w:rPr>
      <w:i/>
      <w:iCs w:val="0"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C40C2"/>
    <w:rPr>
      <w:i/>
      <w:iCs w:val="0"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40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="Arial" w:eastAsia="Times New Roman" w:hAnsi="Arial" w:cs="Arial"/>
      <w:bCs/>
      <w:i/>
      <w:color w:val="365F9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40C2"/>
    <w:rPr>
      <w:i/>
      <w:iCs w:val="0"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40C2"/>
    <w:rPr>
      <w:b/>
      <w:bCs w:val="0"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Frühwein</dc:creator>
  <cp:keywords/>
  <dc:description/>
  <cp:lastModifiedBy>Christoph Frühwein</cp:lastModifiedBy>
  <cp:revision>14</cp:revision>
  <dcterms:created xsi:type="dcterms:W3CDTF">2025-11-02T18:25:00Z</dcterms:created>
  <dcterms:modified xsi:type="dcterms:W3CDTF">2025-11-02T18:53:00Z</dcterms:modified>
</cp:coreProperties>
</file>